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BDC" w:rsidRPr="00AC3BDC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AC3BDC">
        <w:rPr>
          <w:rFonts w:cstheme="minorHAnsi"/>
          <w:b/>
          <w:sz w:val="32"/>
          <w:szCs w:val="32"/>
        </w:rPr>
        <w:t xml:space="preserve">Conferencia Internacional sobre </w:t>
      </w:r>
      <w:proofErr w:type="spellStart"/>
      <w:r w:rsidRPr="00AC3BDC">
        <w:rPr>
          <w:rFonts w:cstheme="minorHAnsi"/>
          <w:b/>
          <w:sz w:val="32"/>
          <w:szCs w:val="32"/>
        </w:rPr>
        <w:t>Ciberfraude</w:t>
      </w:r>
      <w:proofErr w:type="spellEnd"/>
      <w:r w:rsidRPr="00AC3BDC">
        <w:rPr>
          <w:rFonts w:cstheme="minorHAnsi"/>
          <w:b/>
          <w:sz w:val="32"/>
          <w:szCs w:val="32"/>
        </w:rPr>
        <w:t xml:space="preserve"> – Buenos Aires, 29 de septiembre de 2026</w:t>
      </w:r>
    </w:p>
    <w:p w:rsidR="00AC3BDC" w:rsidRPr="00AC3BDC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AC3BDC">
        <w:rPr>
          <w:rFonts w:cstheme="minorHAnsi"/>
          <w:b/>
          <w:sz w:val="32"/>
          <w:szCs w:val="32"/>
        </w:rPr>
        <w:t>Panel I – Lineamientos de política criminal para la investigación de delitos cometidos en entornos digitales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En primer lugar, quiero agradecer la invitación y la posibilidad de compartir este panel con colegas de distintos Ministerios Públicos</w:t>
      </w:r>
      <w:r w:rsidR="007C2F22">
        <w:rPr>
          <w:rFonts w:cstheme="minorHAnsi"/>
          <w:sz w:val="32"/>
          <w:szCs w:val="32"/>
        </w:rPr>
        <w:t xml:space="preserve"> y ante tal calificado auditorio. </w:t>
      </w:r>
    </w:p>
    <w:p w:rsidR="00AC3BDC" w:rsidRPr="007C2F22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AC3BDC">
        <w:rPr>
          <w:rFonts w:cstheme="minorHAnsi"/>
          <w:sz w:val="32"/>
          <w:szCs w:val="32"/>
        </w:rPr>
        <w:lastRenderedPageBreak/>
        <w:t xml:space="preserve">Cuando hablamos de política criminal frente a los delitos cometidos en entornos digitales, creo que el primer punto que debemos asumir es bastante sencillo, pero al mismo tiempo determinante: </w:t>
      </w:r>
      <w:r w:rsidRPr="007C2F22">
        <w:rPr>
          <w:rFonts w:cstheme="minorHAnsi"/>
          <w:b/>
          <w:sz w:val="32"/>
          <w:szCs w:val="32"/>
        </w:rPr>
        <w:t>la criminalidad cambió y, por lo tanto, nuestras instituciones también tienen que cambiar.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Durante muchos años pensamos el ciberdelito como una categoría específica y relativamente excepcional: delitos informáticos cometidos por personas con conocimientos técnicos particulares, contra sistemas informáticos determinados.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Hoy esa descripción resulta </w:t>
      </w:r>
      <w:r w:rsidR="007C2F22">
        <w:rPr>
          <w:rFonts w:cstheme="minorHAnsi"/>
          <w:sz w:val="32"/>
          <w:szCs w:val="32"/>
        </w:rPr>
        <w:t xml:space="preserve">absolutamente </w:t>
      </w:r>
      <w:r w:rsidRPr="00AC3BDC">
        <w:rPr>
          <w:rFonts w:cstheme="minorHAnsi"/>
          <w:sz w:val="32"/>
          <w:szCs w:val="32"/>
        </w:rPr>
        <w:t>insuficiente.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 tecnología dejó de ser solamente el objeto del delito para convertirse también en el medio habitual a través del cual se cometen delitos tradicionales.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lastRenderedPageBreak/>
        <w:t>Las estafas, las defraudaciones, la extorsión, el grooming, la explotación sexual infantil, el lavado de activos y muchas otras manifestaciones de criminalidad organizada tienen hoy una dimensión digital.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Y esto produce un cambio muy importante para quienes tenemos la responsabilidad de diseñar políticas de persecución penal.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7C2F22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7C2F22">
        <w:rPr>
          <w:rFonts w:cstheme="minorHAnsi"/>
          <w:b/>
          <w:sz w:val="32"/>
          <w:szCs w:val="32"/>
        </w:rPr>
        <w:lastRenderedPageBreak/>
        <w:t>Ya no alcanza con tener especialistas en ciberdelito. Necesitamos Ministerios Públicos preparados para investigar en un mundo digital.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En Chubut hemos intentado construir nuestra política criminal sobre esa premisa.</w:t>
      </w:r>
    </w:p>
    <w:p w:rsidR="00AC3BDC" w:rsidRPr="007C2F22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Nuestra Ley Orgánica establece que corresponde al Ministerio Público Fiscal fijar los lineamientos de política criminal, establecer prioridades en la investigación y persecución de </w:t>
      </w:r>
      <w:r w:rsidRPr="00AC3BDC">
        <w:rPr>
          <w:rFonts w:cstheme="minorHAnsi"/>
          <w:sz w:val="32"/>
          <w:szCs w:val="32"/>
        </w:rPr>
        <w:lastRenderedPageBreak/>
        <w:t>los delitos y promover la cooperación regional, nacional e internacional frente a la criminalidad organizada y las investigaciones complejas</w:t>
      </w:r>
      <w:r w:rsidRPr="007C2F22">
        <w:rPr>
          <w:rFonts w:cstheme="minorHAnsi"/>
          <w:b/>
          <w:sz w:val="32"/>
          <w:szCs w:val="32"/>
        </w:rPr>
        <w:t>. La misma ley nos encomienda promover la tecnificación de la investigación.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Sobre esa base fuimos desarrollando progresivamente una política institucional en materia de cibercriminalidad.</w:t>
      </w:r>
    </w:p>
    <w:p w:rsidR="00AC3BDC" w:rsidRPr="007C2F22" w:rsidRDefault="00A771FB" w:rsidP="00AC3BDC">
      <w:pPr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E</w:t>
      </w:r>
      <w:bookmarkStart w:id="0" w:name="_GoBack"/>
      <w:bookmarkEnd w:id="0"/>
      <w:r w:rsidR="00AC3BDC" w:rsidRPr="007C2F22">
        <w:rPr>
          <w:rFonts w:cstheme="minorHAnsi"/>
          <w:b/>
          <w:sz w:val="32"/>
          <w:szCs w:val="32"/>
        </w:rPr>
        <w:t>l primer eje fue la especialización.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En el año 2020 creamos en Chubut la Unidad Fiscal Especializada en Cibercrimen y Evidencia Digital.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7C2F22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Ya entonces advertíamos tres características que hoy resultan todavía más evidentes: </w:t>
      </w:r>
    </w:p>
    <w:p w:rsidR="007C2F22" w:rsidRPr="00C61EF3" w:rsidRDefault="007C2F22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1° L</w:t>
      </w:r>
      <w:r w:rsidR="00AC3BDC" w:rsidRPr="00C61EF3">
        <w:rPr>
          <w:rFonts w:cstheme="minorHAnsi"/>
          <w:b/>
          <w:sz w:val="32"/>
          <w:szCs w:val="32"/>
        </w:rPr>
        <w:t>a creciente dimensión internacional de estos delitos</w:t>
      </w:r>
    </w:p>
    <w:p w:rsidR="007C2F22" w:rsidRPr="00C61EF3" w:rsidRDefault="007C2F22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lastRenderedPageBreak/>
        <w:t>2° L</w:t>
      </w:r>
      <w:r w:rsidR="00AC3BDC" w:rsidRPr="00C61EF3">
        <w:rPr>
          <w:rFonts w:cstheme="minorHAnsi"/>
          <w:b/>
          <w:sz w:val="32"/>
          <w:szCs w:val="32"/>
        </w:rPr>
        <w:t>a dificultad para obtener y preservar evidencia digital y,</w:t>
      </w:r>
    </w:p>
    <w:p w:rsidR="00AC3BDC" w:rsidRPr="00C61EF3" w:rsidRDefault="007C2F22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3°</w:t>
      </w:r>
      <w:r w:rsidR="00AC3BDC" w:rsidRPr="00C61EF3">
        <w:rPr>
          <w:rFonts w:cstheme="minorHAnsi"/>
          <w:b/>
          <w:sz w:val="32"/>
          <w:szCs w:val="32"/>
        </w:rPr>
        <w:t xml:space="preserve"> </w:t>
      </w:r>
      <w:r w:rsidRPr="00C61EF3">
        <w:rPr>
          <w:rFonts w:cstheme="minorHAnsi"/>
          <w:b/>
          <w:sz w:val="32"/>
          <w:szCs w:val="32"/>
        </w:rPr>
        <w:t>F</w:t>
      </w:r>
      <w:r w:rsidR="00AC3BDC" w:rsidRPr="00C61EF3">
        <w:rPr>
          <w:rFonts w:cstheme="minorHAnsi"/>
          <w:b/>
          <w:sz w:val="32"/>
          <w:szCs w:val="32"/>
        </w:rPr>
        <w:t>undamentalmente, la volatilidad de esa evidencia.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7C2F22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La conclusión fue que necesitábamos fiscales, funcionarios, investigadores y técnicos específicamente capacitados para comprender </w:t>
      </w:r>
      <w:r w:rsidRPr="007C2F22">
        <w:rPr>
          <w:rFonts w:cstheme="minorHAnsi"/>
          <w:b/>
          <w:sz w:val="32"/>
          <w:szCs w:val="32"/>
        </w:rPr>
        <w:t>dónde está la evidencia, cómo encontrarla y, sobre todo, cómo preservarla.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Pero la Unidad especializada nunca fue concebida como una fiscalía aislada del resto de la organización.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Desde su creación le asignamos también funciones de asesoramiento a todas las oficinas fiscales, cooperación con otros organismos y empresas, integración en redes nacionales e internacionales, capacitación y elaboración de diagnósticos sobre cibercriminalidad.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Esto responde a una convicción que considero importante: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C61EF3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lastRenderedPageBreak/>
        <w:t>L</w:t>
      </w:r>
      <w:r w:rsidR="00AC3BDC" w:rsidRPr="00C61EF3">
        <w:rPr>
          <w:rFonts w:cstheme="minorHAnsi"/>
          <w:b/>
          <w:sz w:val="32"/>
          <w:szCs w:val="32"/>
        </w:rPr>
        <w:t>a especialización debe irradiar conocimiento hacia toda la organización y no concentrarlo.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Porque hoy prácticamente cualquier investigación penal puede contener evidencia digital.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Un teléfono celular, una conversación de WhatsApp, una cuenta bancaria, una billetera virtual, una dirección IP, una geolocalización o una plataforma digital pueden resultar de</w:t>
      </w:r>
      <w:r w:rsidRPr="00AC3BDC">
        <w:rPr>
          <w:rFonts w:cstheme="minorHAnsi"/>
          <w:sz w:val="32"/>
          <w:szCs w:val="32"/>
        </w:rPr>
        <w:lastRenderedPageBreak/>
        <w:t>terminantes en investigaciones que, inicialmente, nada tienen que ver con lo que tradicionalmente denominábamos ciberdelito.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El segundo aprendizaje que tuvimos en Chubut fue producto de la propia experiencia.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Con el crecimiento de las denuncias, particularmente de estafas y defraudaciones cometidas mediante redes sociales, mensajería y plataformas electrónicas, advertimos que </w:t>
      </w:r>
      <w:r w:rsidRPr="00C61EF3">
        <w:rPr>
          <w:rFonts w:cstheme="minorHAnsi"/>
          <w:b/>
          <w:sz w:val="32"/>
          <w:szCs w:val="32"/>
        </w:rPr>
        <w:t xml:space="preserve">no </w:t>
      </w:r>
      <w:r w:rsidRPr="00C61EF3">
        <w:rPr>
          <w:rFonts w:cstheme="minorHAnsi"/>
          <w:b/>
          <w:sz w:val="32"/>
          <w:szCs w:val="32"/>
        </w:rPr>
        <w:lastRenderedPageBreak/>
        <w:t>todo delito cometido utilizando tecnología requiere necesariamente la intervención de una fiscalía especializada.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 utilización de un teléfono celular o de una plataforma digital no convierte automáticamente una estafa tradicional en una investigación de alta complejidad tecnológica.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Y esto nos llevó, durante este año, a redefinir los criterios de intervención de nuestra Unidad especializada.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lastRenderedPageBreak/>
        <w:t>La Resolución 053 de 2026 estableció criterios de priorización destinados a concentrar los recursos especializados en aquellos casos que presentan verdadera complejidad técnica, manipulación informática, dimensión transnacional, criminalidad organizada o necesidad de investigaciones especialmente complejas en entornos digitales.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En materia de grooming aplicamos un criterio similar.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lastRenderedPageBreak/>
        <w:t>Cuando el autor se encuentra identificado y localizado dentro del país, la investigación puede normalmente permanecer en la fiscalía territorial, lo que además facilita la cercanía y asistencia a las víctimas.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Pero cuando el autor opera desde el extranjero, aparecen problemas de cooperación internacional, preservación de evidencia alojada fuera del país y relaciones con proveedores internacionales que justifican la intervención especializada.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lastRenderedPageBreak/>
        <w:t>Por eso, para nosotros, una política criminal eficiente debe distinguir entre criminalidad digital cotidiana y criminalidad digital compleja.</w:t>
      </w: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En este sentido es de vital importancia lo que denominamos litigio colaborativo estratégico que nos ha permitido interactuar y litigar junto a otros colegas del país en casos en que existen pluralidad de víctimas de distintas jurisdicciones.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lastRenderedPageBreak/>
        <w:t xml:space="preserve">Si las unidades especializadas reciben indiscriminadamente todos los casos en los que aparece algún componente tecnológico, terminamos consumiendo recursos altamente calificados en investigaciones que pueden perfectamente ser realizadas </w:t>
      </w:r>
      <w:r w:rsidR="00070B07">
        <w:rPr>
          <w:rFonts w:cstheme="minorHAnsi"/>
          <w:sz w:val="32"/>
          <w:szCs w:val="32"/>
        </w:rPr>
        <w:t xml:space="preserve">por </w:t>
      </w:r>
      <w:r w:rsidR="00C61EF3">
        <w:rPr>
          <w:rFonts w:cstheme="minorHAnsi"/>
          <w:sz w:val="32"/>
          <w:szCs w:val="32"/>
        </w:rPr>
        <w:t>el resto de</w:t>
      </w:r>
      <w:r w:rsidRPr="00AC3BDC">
        <w:rPr>
          <w:rFonts w:cstheme="minorHAnsi"/>
          <w:sz w:val="32"/>
          <w:szCs w:val="32"/>
        </w:rPr>
        <w:t xml:space="preserve"> las fiscalías.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 especialización debe reservarse allí donde verdaderamente agrega valor.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Hay un tercer lineamiento que considero fundamental.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En la investigación digital, el tiempo es evidencia.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La evidencia física suele permanecer.</w:t>
      </w: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La evidencia digital puede desaparecer en segundos</w:t>
      </w:r>
      <w:r w:rsidR="00C61EF3" w:rsidRPr="00C61EF3">
        <w:rPr>
          <w:rFonts w:cstheme="minorHAnsi"/>
          <w:b/>
          <w:sz w:val="32"/>
          <w:szCs w:val="32"/>
        </w:rPr>
        <w:t>, por lo que exige velocidad.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lastRenderedPageBreak/>
        <w:t>Una cuenta puede cerrarse. Un mensaje puede eliminarse. Una dirección IP puede reasignarse. Los fondos pueden atravesar múltiples cuentas o billeteras virtuales en pocos minutos. Los datos pueden encontrarse almacenados en servidores situados a miles de kilómetros del lugar donde ocurrió el hecho.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Por eso uno de los problemas centrales que enfrentamos no es solamente jurídico. Es también un problema de velocidad institucional.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En Chubut veníamos trabajando desde hace años con protocolos específicos para el secuestro y preservación de evidencia informática. Las guías establecen reglas destinadas a evitar la alteración de los dispositivos y asegurar que su manipulación quede debidamente documentada.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La regla es sencilla: quien interviene sobre evidencia digital debe hacerlo sabiendo que una actuación incorrecta puede modificarla o destruirla.</w:t>
      </w: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Por eso la capacitación del primer interviniente es tan importante como la capacidad posterior del laboratorio forense.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Las guías que adoptamos posteriormente profundizan esa misma lógica: la recolección, aseguramiento y transporte deben priorizar la no modificación de la evidencia; si alguna modificación resulta inevitable por razones metodológicas, debe </w:t>
      </w:r>
      <w:r w:rsidRPr="00AC3BDC">
        <w:rPr>
          <w:rFonts w:cstheme="minorHAnsi"/>
          <w:sz w:val="32"/>
          <w:szCs w:val="32"/>
        </w:rPr>
        <w:lastRenderedPageBreak/>
        <w:t>documentarse íntegramente, y el procesamiento debe quedar reservado a personal idóneo y capacitado.</w:t>
      </w: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Este proceso tuvo en Chubut un avance decisivo en marzo de este año con la sanción de la Ley XV N.º 43, destinada específicamente a regular herramientas tecnológicas aplicadas a la investigación penal.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lastRenderedPageBreak/>
        <w:t>La ley parte de una idea que me parece esencial: dar mayores herramientas de investigación no significa disminuir garantías.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Por el contrario.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Cuanto más intrusiva sea la tecnología disponible para el Estado, mayor debe ser la precisión de las reglas que regulan su utilización.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lastRenderedPageBreak/>
        <w:t>Por eso nuestra ley establece como principios generales que toda medida tecnológica debe desarrollarse dentro de una investigación penal concreta, delimitando su objeto, las personas alcanzadas, su duración y la información específica que se pretende obtener.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Y exige además que toda decisión respete los principios de idoneidad, necesidad y proporcionalidad, procurando la menor afectación posible de los derechos de las personas investigadas y de terceros.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Creo que este equilibrio es central.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No debemos elegir entre eficacia investigativa y garantías constitucionales.</w:t>
      </w: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Necesitamos eficacia investigativa dentro de las garantías constitucionales.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lastRenderedPageBreak/>
        <w:t>La misma ley define la evidencia digital exigiendo que sea auténtica, íntegra, trazable y verificable y establece la obligación de adoptar las medidas necesarias para su correcta identificación, recolección, preservación, procesamiento y presentación.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También regula mecanismos de aseguramiento urgente de datos, órdenes de presentación y requerimientos a prestadores de telecomunicaciones, servicios digitales, medios de pago y sistema financiero.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Y aquí aparece nuevamente la cuestión del equilibrio.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Determinada información de identificación o abonado puede ser requerida directamente por el fiscal. Pero cuando ingresamos en datos de tráfico, contenido o información protegida por una expectativa razonable de privacidad, aparece el control judicial previo.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lastRenderedPageBreak/>
        <w:t>Es decir: herramientas ágiles para investigar, pero controles proporcionales al nivel de afectación de derechos.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 ley incorpora además herramientas que hasta hace poco resultaban difíciles de imaginar dentro de nuestros códigos procesales tradicionales.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Una de ellas es el agente encubierto digital.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Con autorización judicial pueden realizarse investigaciones encubiertas en canales cerrados de comunicación para identificar autores o partícipes, impedir la consumación de delitos o reunir prueba.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Los investigadores pueden utilizar perfiles o identidades digitales ficticias y, dentro de los límites de la autorización judicial, participar en determinados entornos digitales.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Pero establecimos un límite muy claro: el agente encubierto digital no puede provocar el delito.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Su actuación debe ser reactiva. No puede inducir, incitar o promover una conducta delictiva que no habría ocurrido sin su intervención.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También regulamos el acceso remoto a equipos informáticos.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El juez puede autorizar la utilización no ostensible de software para acceder remotamente a ordenadores, dispositivos, sistemas o bases de datos. Pero la solicitud fiscal debe individualizar qué información pretende obtener, sobre qué dispositivos, mediante qué herramienta y durante cuánto tiempo.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Son herramientas potentes.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Precisamente por eso necesitan reglas claras, autorización judicial y mecanismos de control.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Existe además otro desafío que atraviesa cada vez más investigaciones: los activos virtuales.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Las organizaciones criminales aprendieron rápidamente que la velocidad, el carácter transfronterizo y cierto grado de </w:t>
      </w:r>
      <w:proofErr w:type="spellStart"/>
      <w:r w:rsidRPr="00AC3BDC">
        <w:rPr>
          <w:rFonts w:cstheme="minorHAnsi"/>
          <w:sz w:val="32"/>
          <w:szCs w:val="32"/>
        </w:rPr>
        <w:t>pseudoanonimato</w:t>
      </w:r>
      <w:proofErr w:type="spellEnd"/>
      <w:r w:rsidRPr="00AC3BDC">
        <w:rPr>
          <w:rFonts w:cstheme="minorHAnsi"/>
          <w:sz w:val="32"/>
          <w:szCs w:val="32"/>
        </w:rPr>
        <w:t xml:space="preserve"> de los </w:t>
      </w:r>
      <w:proofErr w:type="spellStart"/>
      <w:r w:rsidRPr="00AC3BDC">
        <w:rPr>
          <w:rFonts w:cstheme="minorHAnsi"/>
          <w:sz w:val="32"/>
          <w:szCs w:val="32"/>
        </w:rPr>
        <w:t>criptoactivos</w:t>
      </w:r>
      <w:proofErr w:type="spellEnd"/>
      <w:r w:rsidRPr="00AC3BDC">
        <w:rPr>
          <w:rFonts w:cstheme="minorHAnsi"/>
          <w:sz w:val="32"/>
          <w:szCs w:val="32"/>
        </w:rPr>
        <w:t xml:space="preserve"> podían ser utilizados para movilizar y ocultar ganancias ilícitas.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Las dificultades son evidentes: operaciones inmediatas, múltiples transferencias, proveedores ubicados en jurisdicciones extranjeras y conocimientos técnicos cada vez más especializados.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Por esa razón incorporamos también herramientas y guías para la identificación, trazabilidad e incautación de </w:t>
      </w:r>
      <w:proofErr w:type="spellStart"/>
      <w:r w:rsidRPr="00AC3BDC">
        <w:rPr>
          <w:rFonts w:cstheme="minorHAnsi"/>
          <w:sz w:val="32"/>
          <w:szCs w:val="32"/>
        </w:rPr>
        <w:t>criptoactivos</w:t>
      </w:r>
      <w:proofErr w:type="spellEnd"/>
      <w:r w:rsidRPr="00AC3BDC">
        <w:rPr>
          <w:rFonts w:cstheme="minorHAnsi"/>
          <w:sz w:val="32"/>
          <w:szCs w:val="32"/>
        </w:rPr>
        <w:t>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La política criminal frente al </w:t>
      </w:r>
      <w:proofErr w:type="spellStart"/>
      <w:r w:rsidRPr="00AC3BDC">
        <w:rPr>
          <w:rFonts w:cstheme="minorHAnsi"/>
          <w:sz w:val="32"/>
          <w:szCs w:val="32"/>
        </w:rPr>
        <w:t>ciberfraude</w:t>
      </w:r>
      <w:proofErr w:type="spellEnd"/>
      <w:r w:rsidRPr="00AC3BDC">
        <w:rPr>
          <w:rFonts w:cstheme="minorHAnsi"/>
          <w:sz w:val="32"/>
          <w:szCs w:val="32"/>
        </w:rPr>
        <w:t xml:space="preserve"> debe asumir una premisa elemental:</w:t>
      </w: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</w:p>
    <w:p w:rsidR="00AC3BDC" w:rsidRPr="00C61EF3" w:rsidRDefault="00C61EF3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I</w:t>
      </w:r>
      <w:r w:rsidR="00AC3BDC" w:rsidRPr="00C61EF3">
        <w:rPr>
          <w:rFonts w:cstheme="minorHAnsi"/>
          <w:b/>
          <w:sz w:val="32"/>
          <w:szCs w:val="32"/>
        </w:rPr>
        <w:t>nvestigar el delito sin seguir el dinero significa investigar solamente una parte del delito.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 xml:space="preserve">Y, en muchas ocasiones, recuperar rápidamente los activos resulta tan </w:t>
      </w:r>
      <w:r w:rsidR="00C61EF3">
        <w:rPr>
          <w:rFonts w:cstheme="minorHAnsi"/>
          <w:sz w:val="32"/>
          <w:szCs w:val="32"/>
        </w:rPr>
        <w:t xml:space="preserve">o más </w:t>
      </w:r>
      <w:r w:rsidRPr="00AC3BDC">
        <w:rPr>
          <w:rFonts w:cstheme="minorHAnsi"/>
          <w:sz w:val="32"/>
          <w:szCs w:val="32"/>
        </w:rPr>
        <w:t>importante para la víctima como identificar al autor.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Nuestra legislación permite incluso, frente a determinados delitos económicos que impliquen transmisión digital de activos y cuando resulte indispensable para impedir la pérdida de esos activos o de evidencia digital, disponer medidas provisorias de bloqueo o inmovilización con inmediata intervención judicial para su control.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Quiero detenerme finalmente en una cuestión que considero quizás la más importante.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El ciberdelito desafía permanentemente nuestras fronteras jurisdiccionales.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 víctima puede estar en Chubut.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El autor puede estar en otra provincia o en otro país.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 cuenta bancaria puede pertenecer a una tercera persona.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El proveedor de internet puede tener domicilio en otra jurisdicción.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El servidor puede encontrarse en el extranjero.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Y los fondos pueden atravesar cinco cuentas o billeteras distintas antes de que terminemos de redactar el primer requerimiento.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Frente a esa realidad, las fronteras administrativas de nuestros Ministerios Públicos no pueden transformarse en una ventaja para quienes delinquen.</w:t>
      </w: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Por eso necesitamos cooperación horizontal entre fiscales, canales rápidos de comunicación, protocolos comunes, relaciones institucionales con proveedores tecnológicos y financieros y mecanismos eficaces de cooperación internacional.</w:t>
      </w:r>
    </w:p>
    <w:p w:rsidR="00AC3BDC" w:rsidRPr="00C61EF3" w:rsidRDefault="00AC3BDC" w:rsidP="00AC3BDC">
      <w:pPr>
        <w:jc w:val="both"/>
        <w:rPr>
          <w:rFonts w:cstheme="minorHAnsi"/>
          <w:b/>
          <w:sz w:val="32"/>
          <w:szCs w:val="32"/>
        </w:rPr>
      </w:pPr>
    </w:p>
    <w:p w:rsidR="00C61EF3" w:rsidRDefault="00C61EF3" w:rsidP="00AC3BDC">
      <w:pPr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Ninguna Jurisdicción puede enfrentar sola este fenómeno.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Aquí también surge la idea del litigio colaborativo estratégico. </w:t>
      </w:r>
    </w:p>
    <w:p w:rsid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 cooperación no puede comenzar cuando aparece el problema.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Tiene que existir antes.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Las redes institucionales deben construirse antes de necesitarlas.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Y encuentros como éste son precisamente parte de esa construcción.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Cierre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Para terminar, quisiera resumir nuestra experiencia en cinco ideas.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Primero:</w:t>
      </w:r>
      <w:r w:rsidRPr="00AC3BDC">
        <w:rPr>
          <w:rFonts w:cstheme="minorHAnsi"/>
          <w:sz w:val="32"/>
          <w:szCs w:val="32"/>
        </w:rPr>
        <w:t xml:space="preserve"> especialización, porque la complejidad tecnológica exige conocimiento específico.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Segundo:</w:t>
      </w:r>
      <w:r w:rsidRPr="00AC3BDC">
        <w:rPr>
          <w:rFonts w:cstheme="minorHAnsi"/>
          <w:sz w:val="32"/>
          <w:szCs w:val="32"/>
        </w:rPr>
        <w:t xml:space="preserve"> descentralización con apoyo especializado, porque no todo delito cometido mediante tecnología debe ser investigado por una unidad de cibercrimen.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Tercero:</w:t>
      </w:r>
      <w:r w:rsidRPr="00AC3BDC">
        <w:rPr>
          <w:rFonts w:cstheme="minorHAnsi"/>
          <w:sz w:val="32"/>
          <w:szCs w:val="32"/>
        </w:rPr>
        <w:t xml:space="preserve"> velocidad y preservación, porque en el mundo digital perder tiempo muchas veces significa perder evidencia.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 xml:space="preserve">Cuarto: </w:t>
      </w:r>
      <w:r w:rsidRPr="00AC3BDC">
        <w:rPr>
          <w:rFonts w:cstheme="minorHAnsi"/>
          <w:sz w:val="32"/>
          <w:szCs w:val="32"/>
        </w:rPr>
        <w:t>herramientas modernas con controles constitucionales, porque eficacia y garantías no son conceptos incompatibles.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C61EF3">
        <w:rPr>
          <w:rFonts w:cstheme="minorHAnsi"/>
          <w:b/>
          <w:sz w:val="32"/>
          <w:szCs w:val="32"/>
        </w:rPr>
        <w:t>Y quinto:</w:t>
      </w:r>
      <w:r w:rsidRPr="00AC3BDC">
        <w:rPr>
          <w:rFonts w:cstheme="minorHAnsi"/>
          <w:sz w:val="32"/>
          <w:szCs w:val="32"/>
        </w:rPr>
        <w:t xml:space="preserve"> cooperación</w:t>
      </w:r>
      <w:r>
        <w:rPr>
          <w:rFonts w:cstheme="minorHAnsi"/>
          <w:sz w:val="32"/>
          <w:szCs w:val="32"/>
        </w:rPr>
        <w:t xml:space="preserve"> y litigio colaborativo estratégico</w:t>
      </w:r>
      <w:r w:rsidRPr="00AC3BDC">
        <w:rPr>
          <w:rFonts w:cstheme="minorHAnsi"/>
          <w:sz w:val="32"/>
          <w:szCs w:val="32"/>
        </w:rPr>
        <w:t>, porque ningún Ministerio Público, ninguna provincia y probablemente ningún país puede enfrentar aisladamente una criminalidad que por definición no reconoce fronteras.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Creo que el desafío que tenemos por delante no consiste solamente en incorporar más tecnología.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Consiste en construir instituciones capaces de adaptarse a la velocidad con la que cambia la criminalidad.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Los delincuentes ya trabajan en red.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Ya utilizan inteligencia artificial, identidades digitales, activos virtuales, plataformas internacionales y comunicaciones cifradas.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El Estado no puede responder a esa realidad con estructuras aisladas, procedimientos pensados exclusivamente para evidencia física y tiempos incompatibles con la volatilidad de la evidencia digital.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Tenemos que especializarnos, cooperar, capacitarnos permanentemente y actualizar nuestras herramientas jurídicas.</w:t>
      </w:r>
      <w:r>
        <w:rPr>
          <w:rFonts w:cstheme="minorHAnsi"/>
          <w:sz w:val="32"/>
          <w:szCs w:val="32"/>
        </w:rPr>
        <w:t xml:space="preserve"> Sobre todo las de inteligencia artificial en las que estamos trabajando y mucho, no solo en nuestra provincia sino a t</w:t>
      </w:r>
      <w:r w:rsidR="00853D44">
        <w:rPr>
          <w:rFonts w:cstheme="minorHAnsi"/>
          <w:sz w:val="32"/>
          <w:szCs w:val="32"/>
        </w:rPr>
        <w:t>ravé</w:t>
      </w:r>
      <w:r>
        <w:rPr>
          <w:rFonts w:cstheme="minorHAnsi"/>
          <w:sz w:val="32"/>
          <w:szCs w:val="32"/>
        </w:rPr>
        <w:t>s de la Red Nacional de IA.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Pero siempre con una convicción: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la tecnología debe ampliar nuestra capacidad de investigar, nunca reducir las garantías que legitiman esa investigación.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Ese, en definitiva, es el equilibrio que estamos intentando construir en Chubut.</w:t>
      </w:r>
    </w:p>
    <w:p w:rsidR="00AC3BDC" w:rsidRPr="00AC3BDC" w:rsidRDefault="00AC3BDC" w:rsidP="00AC3BDC">
      <w:pPr>
        <w:jc w:val="both"/>
        <w:rPr>
          <w:rFonts w:cstheme="minorHAnsi"/>
          <w:sz w:val="32"/>
          <w:szCs w:val="32"/>
        </w:rPr>
      </w:pPr>
    </w:p>
    <w:p w:rsidR="00E50F6B" w:rsidRPr="00AC3BDC" w:rsidRDefault="00AC3BDC" w:rsidP="00AC3BDC">
      <w:pPr>
        <w:jc w:val="both"/>
        <w:rPr>
          <w:rFonts w:cstheme="minorHAnsi"/>
          <w:sz w:val="32"/>
          <w:szCs w:val="32"/>
        </w:rPr>
      </w:pPr>
      <w:r w:rsidRPr="00AC3BDC">
        <w:rPr>
          <w:rFonts w:cstheme="minorHAnsi"/>
          <w:sz w:val="32"/>
          <w:szCs w:val="32"/>
        </w:rPr>
        <w:t>Muchas gracias.</w:t>
      </w:r>
    </w:p>
    <w:sectPr w:rsidR="00E50F6B" w:rsidRPr="00AC3BD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BC4" w:rsidRDefault="004C2BC4" w:rsidP="00AC3BDC">
      <w:pPr>
        <w:spacing w:after="0" w:line="240" w:lineRule="auto"/>
      </w:pPr>
      <w:r>
        <w:separator/>
      </w:r>
    </w:p>
  </w:endnote>
  <w:endnote w:type="continuationSeparator" w:id="0">
    <w:p w:rsidR="004C2BC4" w:rsidRDefault="004C2BC4" w:rsidP="00AC3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BC4" w:rsidRDefault="004C2BC4" w:rsidP="00AC3BDC">
      <w:pPr>
        <w:spacing w:after="0" w:line="240" w:lineRule="auto"/>
      </w:pPr>
      <w:r>
        <w:separator/>
      </w:r>
    </w:p>
  </w:footnote>
  <w:footnote w:type="continuationSeparator" w:id="0">
    <w:p w:rsidR="004C2BC4" w:rsidRDefault="004C2BC4" w:rsidP="00AC3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1227894"/>
      <w:docPartObj>
        <w:docPartGallery w:val="Page Numbers (Top of Page)"/>
        <w:docPartUnique/>
      </w:docPartObj>
    </w:sdtPr>
    <w:sdtEndPr/>
    <w:sdtContent>
      <w:p w:rsidR="00A1634A" w:rsidRDefault="00A1634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1FB" w:rsidRPr="00A771FB">
          <w:rPr>
            <w:noProof/>
            <w:lang w:val="es-ES"/>
          </w:rPr>
          <w:t>2</w:t>
        </w:r>
        <w:r>
          <w:fldChar w:fldCharType="end"/>
        </w:r>
      </w:p>
    </w:sdtContent>
  </w:sdt>
  <w:p w:rsidR="00AC3BDC" w:rsidRDefault="00AC3B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DC"/>
    <w:rsid w:val="00070B07"/>
    <w:rsid w:val="002202D9"/>
    <w:rsid w:val="004C2BC4"/>
    <w:rsid w:val="007C2C44"/>
    <w:rsid w:val="007C2F22"/>
    <w:rsid w:val="00853D44"/>
    <w:rsid w:val="00862BD1"/>
    <w:rsid w:val="00A1634A"/>
    <w:rsid w:val="00A771FB"/>
    <w:rsid w:val="00AC3BDC"/>
    <w:rsid w:val="00C61EF3"/>
    <w:rsid w:val="00E5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55564B11-0D99-44E1-AFDC-9E503CA3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3B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3BDC"/>
  </w:style>
  <w:style w:type="paragraph" w:styleId="Piedepgina">
    <w:name w:val="footer"/>
    <w:basedOn w:val="Normal"/>
    <w:link w:val="PiedepginaCar"/>
    <w:uiPriority w:val="99"/>
    <w:unhideWhenUsed/>
    <w:rsid w:val="00AC3B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3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4E1D1-E1B5-4549-9B27-CD3C8063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2336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Ministerio Público Fiscal RW</dc:creator>
  <cp:keywords/>
  <dc:description/>
  <cp:lastModifiedBy>Alejandro Soulages</cp:lastModifiedBy>
  <cp:revision>3</cp:revision>
  <cp:lastPrinted>2026-09-16T12:37:00Z</cp:lastPrinted>
  <dcterms:created xsi:type="dcterms:W3CDTF">2026-09-30T11:25:00Z</dcterms:created>
  <dcterms:modified xsi:type="dcterms:W3CDTF">2026-09-30T11:27:00Z</dcterms:modified>
</cp:coreProperties>
</file>