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FD0" w:rsidRPr="00C950AE" w:rsidRDefault="00A05FD0" w:rsidP="004558C6">
      <w:pPr>
        <w:spacing w:after="0" w:line="360" w:lineRule="auto"/>
        <w:jc w:val="center"/>
        <w:rPr>
          <w:rFonts w:asciiTheme="majorHAnsi" w:eastAsia="Times New Roman" w:hAnsiTheme="majorHAnsi" w:cs="Times New Roman"/>
          <w:b/>
          <w:sz w:val="24"/>
          <w:szCs w:val="24"/>
        </w:rPr>
      </w:pPr>
      <w:r w:rsidRPr="00C950AE">
        <w:rPr>
          <w:rFonts w:asciiTheme="majorHAnsi" w:eastAsia="Times New Roman" w:hAnsiTheme="majorHAnsi" w:cs="Times New Roman"/>
          <w:b/>
          <w:sz w:val="24"/>
          <w:szCs w:val="24"/>
        </w:rPr>
        <w:t xml:space="preserve">ANEXO II </w:t>
      </w:r>
    </w:p>
    <w:p w:rsidR="004558C6" w:rsidRPr="00C950AE" w:rsidRDefault="004558C6" w:rsidP="004558C6">
      <w:pPr>
        <w:spacing w:after="0" w:line="360" w:lineRule="auto"/>
        <w:jc w:val="center"/>
        <w:rPr>
          <w:rFonts w:asciiTheme="majorHAnsi" w:eastAsia="Times New Roman" w:hAnsiTheme="majorHAnsi" w:cs="Times New Roman"/>
          <w:b/>
          <w:sz w:val="24"/>
          <w:szCs w:val="24"/>
        </w:rPr>
      </w:pPr>
      <w:r w:rsidRPr="00C950AE">
        <w:rPr>
          <w:rFonts w:asciiTheme="majorHAnsi" w:eastAsia="Times New Roman" w:hAnsiTheme="majorHAnsi" w:cs="Times New Roman"/>
          <w:b/>
          <w:sz w:val="24"/>
          <w:szCs w:val="24"/>
        </w:rPr>
        <w:t xml:space="preserve">Temario de examen para </w:t>
      </w:r>
      <w:r w:rsidR="00954E4E">
        <w:rPr>
          <w:rFonts w:asciiTheme="majorHAnsi" w:eastAsia="Times New Roman" w:hAnsiTheme="majorHAnsi" w:cs="Times New Roman"/>
          <w:b/>
          <w:sz w:val="24"/>
          <w:szCs w:val="24"/>
        </w:rPr>
        <w:t>FUNCIONARIO DE FISCALIA 2024</w:t>
      </w:r>
    </w:p>
    <w:p w:rsidR="004558C6" w:rsidRPr="00C950AE" w:rsidRDefault="004558C6" w:rsidP="004558C6">
      <w:pPr>
        <w:spacing w:after="0" w:line="360" w:lineRule="auto"/>
        <w:jc w:val="center"/>
        <w:rPr>
          <w:rFonts w:asciiTheme="majorHAnsi" w:eastAsia="Times New Roman" w:hAnsiTheme="majorHAnsi" w:cs="Times New Roman"/>
          <w:sz w:val="24"/>
          <w:szCs w:val="24"/>
        </w:rPr>
      </w:pPr>
    </w:p>
    <w:p w:rsidR="004558C6" w:rsidRPr="00C950AE" w:rsidRDefault="004558C6" w:rsidP="004558C6">
      <w:pPr>
        <w:pStyle w:val="Prrafodelista"/>
        <w:numPr>
          <w:ilvl w:val="0"/>
          <w:numId w:val="1"/>
        </w:numPr>
        <w:spacing w:after="0" w:line="360" w:lineRule="auto"/>
        <w:jc w:val="both"/>
        <w:rPr>
          <w:rFonts w:asciiTheme="majorHAnsi" w:eastAsia="Times New Roman" w:hAnsiTheme="majorHAnsi" w:cs="Times New Roman"/>
          <w:sz w:val="24"/>
          <w:szCs w:val="24"/>
        </w:rPr>
      </w:pPr>
      <w:r w:rsidRPr="00C950AE">
        <w:rPr>
          <w:rFonts w:asciiTheme="majorHAnsi" w:eastAsia="Times New Roman" w:hAnsiTheme="majorHAnsi" w:cs="Times New Roman"/>
          <w:sz w:val="24"/>
          <w:szCs w:val="24"/>
        </w:rPr>
        <w:t>Derechos y Garantías consti</w:t>
      </w:r>
      <w:r w:rsidR="00525A5C">
        <w:rPr>
          <w:rFonts w:asciiTheme="majorHAnsi" w:eastAsia="Times New Roman" w:hAnsiTheme="majorHAnsi" w:cs="Times New Roman"/>
          <w:sz w:val="24"/>
          <w:szCs w:val="24"/>
        </w:rPr>
        <w:t>tucionales en el Proceso Penal.</w:t>
      </w:r>
    </w:p>
    <w:p w:rsidR="004558C6" w:rsidRPr="00C950AE" w:rsidRDefault="004558C6" w:rsidP="004558C6">
      <w:pPr>
        <w:pStyle w:val="Prrafodelista"/>
        <w:numPr>
          <w:ilvl w:val="0"/>
          <w:numId w:val="1"/>
        </w:numPr>
        <w:spacing w:after="0" w:line="360" w:lineRule="auto"/>
        <w:jc w:val="both"/>
        <w:rPr>
          <w:rFonts w:asciiTheme="majorHAnsi" w:eastAsia="Times New Roman" w:hAnsiTheme="majorHAnsi" w:cs="Times New Roman"/>
          <w:sz w:val="24"/>
          <w:szCs w:val="24"/>
        </w:rPr>
      </w:pPr>
      <w:r w:rsidRPr="00C950AE">
        <w:rPr>
          <w:rFonts w:asciiTheme="majorHAnsi" w:eastAsia="Times New Roman" w:hAnsiTheme="majorHAnsi" w:cs="Times New Roman"/>
          <w:sz w:val="24"/>
          <w:szCs w:val="24"/>
        </w:rPr>
        <w:t>Teoría del Delito</w:t>
      </w:r>
      <w:r w:rsidR="00525A5C">
        <w:rPr>
          <w:rFonts w:asciiTheme="majorHAnsi" w:eastAsia="Times New Roman" w:hAnsiTheme="majorHAnsi" w:cs="Times New Roman"/>
          <w:sz w:val="24"/>
          <w:szCs w:val="24"/>
        </w:rPr>
        <w:t>.</w:t>
      </w:r>
    </w:p>
    <w:p w:rsidR="004558C6" w:rsidRPr="00C950AE" w:rsidRDefault="0012773C" w:rsidP="004558C6">
      <w:pPr>
        <w:pStyle w:val="Prrafodelista"/>
        <w:numPr>
          <w:ilvl w:val="0"/>
          <w:numId w:val="1"/>
        </w:numPr>
        <w:spacing w:after="0" w:line="360" w:lineRule="auto"/>
        <w:jc w:val="both"/>
        <w:rPr>
          <w:rFonts w:asciiTheme="majorHAnsi" w:eastAsia="Times New Roman" w:hAnsiTheme="majorHAnsi" w:cs="Times New Roman"/>
          <w:sz w:val="24"/>
          <w:szCs w:val="24"/>
        </w:rPr>
      </w:pPr>
      <w:r w:rsidRPr="00C950AE">
        <w:rPr>
          <w:rFonts w:asciiTheme="majorHAnsi" w:eastAsia="Times New Roman" w:hAnsiTheme="majorHAnsi" w:cs="Times New Roman"/>
          <w:sz w:val="24"/>
          <w:szCs w:val="24"/>
        </w:rPr>
        <w:t>Reglas de disponibilidad.</w:t>
      </w:r>
      <w:r w:rsidR="004558C6" w:rsidRPr="00C950AE">
        <w:rPr>
          <w:rFonts w:asciiTheme="majorHAnsi" w:eastAsia="Times New Roman" w:hAnsiTheme="majorHAnsi" w:cs="Times New Roman"/>
          <w:sz w:val="24"/>
          <w:szCs w:val="24"/>
        </w:rPr>
        <w:t xml:space="preserve"> Soluciones alternativas. Suspensión de Juicio a Pr</w:t>
      </w:r>
      <w:r w:rsidR="00525A5C">
        <w:rPr>
          <w:rFonts w:asciiTheme="majorHAnsi" w:eastAsia="Times New Roman" w:hAnsiTheme="majorHAnsi" w:cs="Times New Roman"/>
          <w:sz w:val="24"/>
          <w:szCs w:val="24"/>
        </w:rPr>
        <w:t>ueba, reparación; conciliación.</w:t>
      </w:r>
    </w:p>
    <w:p w:rsidR="0012773C" w:rsidRPr="00C950AE" w:rsidRDefault="0012773C" w:rsidP="004558C6">
      <w:pPr>
        <w:pStyle w:val="Prrafodelista"/>
        <w:numPr>
          <w:ilvl w:val="0"/>
          <w:numId w:val="1"/>
        </w:numPr>
        <w:spacing w:after="0" w:line="360" w:lineRule="auto"/>
        <w:jc w:val="both"/>
        <w:rPr>
          <w:rFonts w:asciiTheme="majorHAnsi" w:eastAsia="Times New Roman" w:hAnsiTheme="majorHAnsi" w:cs="Times New Roman"/>
          <w:sz w:val="24"/>
          <w:szCs w:val="24"/>
        </w:rPr>
      </w:pPr>
      <w:r w:rsidRPr="00C950AE">
        <w:rPr>
          <w:rFonts w:asciiTheme="majorHAnsi" w:eastAsia="Times New Roman" w:hAnsiTheme="majorHAnsi" w:cs="Times New Roman"/>
          <w:sz w:val="24"/>
          <w:szCs w:val="24"/>
        </w:rPr>
        <w:t xml:space="preserve">Investigación Preliminar y </w:t>
      </w:r>
      <w:r w:rsidR="008636DC" w:rsidRPr="00C950AE">
        <w:rPr>
          <w:rFonts w:asciiTheme="majorHAnsi" w:eastAsia="Times New Roman" w:hAnsiTheme="majorHAnsi" w:cs="Times New Roman"/>
          <w:sz w:val="24"/>
          <w:szCs w:val="24"/>
        </w:rPr>
        <w:t>E</w:t>
      </w:r>
      <w:r w:rsidRPr="00C950AE">
        <w:rPr>
          <w:rFonts w:asciiTheme="majorHAnsi" w:eastAsia="Times New Roman" w:hAnsiTheme="majorHAnsi" w:cs="Times New Roman"/>
          <w:sz w:val="24"/>
          <w:szCs w:val="24"/>
        </w:rPr>
        <w:t xml:space="preserve">tapa </w:t>
      </w:r>
      <w:r w:rsidR="008636DC" w:rsidRPr="00C950AE">
        <w:rPr>
          <w:rFonts w:asciiTheme="majorHAnsi" w:eastAsia="Times New Roman" w:hAnsiTheme="majorHAnsi" w:cs="Times New Roman"/>
          <w:sz w:val="24"/>
          <w:szCs w:val="24"/>
        </w:rPr>
        <w:t>P</w:t>
      </w:r>
      <w:r w:rsidRPr="00C950AE">
        <w:rPr>
          <w:rFonts w:asciiTheme="majorHAnsi" w:eastAsia="Times New Roman" w:hAnsiTheme="majorHAnsi" w:cs="Times New Roman"/>
          <w:sz w:val="24"/>
          <w:szCs w:val="24"/>
        </w:rPr>
        <w:t>reparatoria. Acusación</w:t>
      </w:r>
      <w:r w:rsidR="008636DC" w:rsidRPr="00C950AE">
        <w:rPr>
          <w:rFonts w:asciiTheme="majorHAnsi" w:eastAsia="Times New Roman" w:hAnsiTheme="majorHAnsi" w:cs="Times New Roman"/>
          <w:sz w:val="24"/>
          <w:szCs w:val="24"/>
        </w:rPr>
        <w:t>.</w:t>
      </w:r>
      <w:r w:rsidRPr="00C950AE">
        <w:rPr>
          <w:rFonts w:asciiTheme="majorHAnsi" w:eastAsia="Times New Roman" w:hAnsiTheme="majorHAnsi" w:cs="Times New Roman"/>
          <w:sz w:val="24"/>
          <w:szCs w:val="24"/>
        </w:rPr>
        <w:t xml:space="preserve"> Procedimiento Abreviado.</w:t>
      </w:r>
    </w:p>
    <w:p w:rsidR="0012773C" w:rsidRPr="00C950AE" w:rsidRDefault="0012773C" w:rsidP="004558C6">
      <w:pPr>
        <w:pStyle w:val="Prrafodelista"/>
        <w:numPr>
          <w:ilvl w:val="0"/>
          <w:numId w:val="1"/>
        </w:numPr>
        <w:spacing w:after="0" w:line="360" w:lineRule="auto"/>
        <w:jc w:val="both"/>
        <w:rPr>
          <w:rFonts w:asciiTheme="majorHAnsi" w:eastAsia="Times New Roman" w:hAnsiTheme="majorHAnsi" w:cs="Times New Roman"/>
          <w:sz w:val="24"/>
          <w:szCs w:val="24"/>
        </w:rPr>
      </w:pPr>
      <w:r w:rsidRPr="00C950AE">
        <w:rPr>
          <w:rFonts w:asciiTheme="majorHAnsi" w:eastAsia="Times New Roman" w:hAnsiTheme="majorHAnsi" w:cs="Times New Roman"/>
          <w:sz w:val="24"/>
          <w:szCs w:val="24"/>
        </w:rPr>
        <w:t xml:space="preserve">Invalidez de los Actos </w:t>
      </w:r>
      <w:r w:rsidR="008636DC" w:rsidRPr="00C950AE">
        <w:rPr>
          <w:rFonts w:asciiTheme="majorHAnsi" w:eastAsia="Times New Roman" w:hAnsiTheme="majorHAnsi" w:cs="Times New Roman"/>
          <w:sz w:val="24"/>
          <w:szCs w:val="24"/>
        </w:rPr>
        <w:t>P</w:t>
      </w:r>
      <w:r w:rsidRPr="00C950AE">
        <w:rPr>
          <w:rFonts w:asciiTheme="majorHAnsi" w:eastAsia="Times New Roman" w:hAnsiTheme="majorHAnsi" w:cs="Times New Roman"/>
          <w:sz w:val="24"/>
          <w:szCs w:val="24"/>
        </w:rPr>
        <w:t>rocesales</w:t>
      </w:r>
      <w:r w:rsidR="00525A5C">
        <w:rPr>
          <w:rFonts w:asciiTheme="majorHAnsi" w:eastAsia="Times New Roman" w:hAnsiTheme="majorHAnsi" w:cs="Times New Roman"/>
          <w:sz w:val="24"/>
          <w:szCs w:val="24"/>
        </w:rPr>
        <w:t>.</w:t>
      </w:r>
    </w:p>
    <w:p w:rsidR="0012773C" w:rsidRPr="00C950AE" w:rsidRDefault="0012773C" w:rsidP="004558C6">
      <w:pPr>
        <w:pStyle w:val="Prrafodelista"/>
        <w:numPr>
          <w:ilvl w:val="0"/>
          <w:numId w:val="1"/>
        </w:numPr>
        <w:spacing w:after="0" w:line="360" w:lineRule="auto"/>
        <w:jc w:val="both"/>
        <w:rPr>
          <w:rFonts w:asciiTheme="majorHAnsi" w:eastAsia="Times New Roman" w:hAnsiTheme="majorHAnsi" w:cs="Times New Roman"/>
          <w:sz w:val="24"/>
          <w:szCs w:val="24"/>
        </w:rPr>
      </w:pPr>
      <w:r w:rsidRPr="00C950AE">
        <w:rPr>
          <w:rFonts w:asciiTheme="majorHAnsi" w:eastAsia="Times New Roman" w:hAnsiTheme="majorHAnsi" w:cs="Times New Roman"/>
          <w:sz w:val="24"/>
          <w:szCs w:val="24"/>
        </w:rPr>
        <w:t>Plazos procesales</w:t>
      </w:r>
      <w:r w:rsidR="00525A5C">
        <w:rPr>
          <w:rFonts w:asciiTheme="majorHAnsi" w:eastAsia="Times New Roman" w:hAnsiTheme="majorHAnsi" w:cs="Times New Roman"/>
          <w:sz w:val="24"/>
          <w:szCs w:val="24"/>
        </w:rPr>
        <w:t>.</w:t>
      </w:r>
    </w:p>
    <w:p w:rsidR="0012773C" w:rsidRPr="00C950AE" w:rsidRDefault="0012773C" w:rsidP="004558C6">
      <w:pPr>
        <w:pStyle w:val="Prrafodelista"/>
        <w:numPr>
          <w:ilvl w:val="0"/>
          <w:numId w:val="1"/>
        </w:numPr>
        <w:spacing w:after="0" w:line="360" w:lineRule="auto"/>
        <w:jc w:val="both"/>
        <w:rPr>
          <w:rFonts w:asciiTheme="majorHAnsi" w:eastAsia="Times New Roman" w:hAnsiTheme="majorHAnsi" w:cs="Times New Roman"/>
          <w:sz w:val="24"/>
          <w:szCs w:val="24"/>
        </w:rPr>
      </w:pPr>
      <w:r w:rsidRPr="00C950AE">
        <w:rPr>
          <w:rFonts w:asciiTheme="majorHAnsi" w:eastAsia="Times New Roman" w:hAnsiTheme="majorHAnsi" w:cs="Times New Roman"/>
          <w:sz w:val="24"/>
          <w:szCs w:val="24"/>
        </w:rPr>
        <w:t>Medidas de coerción</w:t>
      </w:r>
      <w:r w:rsidR="00525A5C">
        <w:rPr>
          <w:rFonts w:asciiTheme="majorHAnsi" w:eastAsia="Times New Roman" w:hAnsiTheme="majorHAnsi" w:cs="Times New Roman"/>
          <w:sz w:val="24"/>
          <w:szCs w:val="24"/>
        </w:rPr>
        <w:t>.</w:t>
      </w:r>
    </w:p>
    <w:p w:rsidR="0012773C" w:rsidRDefault="0012773C" w:rsidP="004558C6">
      <w:pPr>
        <w:pStyle w:val="Prrafodelista"/>
        <w:numPr>
          <w:ilvl w:val="0"/>
          <w:numId w:val="1"/>
        </w:numPr>
        <w:spacing w:after="0" w:line="360" w:lineRule="auto"/>
        <w:jc w:val="both"/>
        <w:rPr>
          <w:rFonts w:asciiTheme="majorHAnsi" w:eastAsia="Times New Roman" w:hAnsiTheme="majorHAnsi" w:cs="Times New Roman"/>
          <w:sz w:val="24"/>
          <w:szCs w:val="24"/>
        </w:rPr>
      </w:pPr>
      <w:r w:rsidRPr="00C950AE">
        <w:rPr>
          <w:rFonts w:asciiTheme="majorHAnsi" w:eastAsia="Times New Roman" w:hAnsiTheme="majorHAnsi" w:cs="Times New Roman"/>
          <w:sz w:val="24"/>
          <w:szCs w:val="24"/>
        </w:rPr>
        <w:t>Técnicas de Litigación</w:t>
      </w:r>
      <w:r w:rsidR="00525A5C">
        <w:rPr>
          <w:rFonts w:asciiTheme="majorHAnsi" w:eastAsia="Times New Roman" w:hAnsiTheme="majorHAnsi" w:cs="Times New Roman"/>
          <w:sz w:val="24"/>
          <w:szCs w:val="24"/>
        </w:rPr>
        <w:t>.</w:t>
      </w:r>
    </w:p>
    <w:p w:rsidR="00DC761D" w:rsidRPr="00C950AE" w:rsidRDefault="00DC761D" w:rsidP="004558C6">
      <w:pPr>
        <w:pStyle w:val="Prrafodelista"/>
        <w:numPr>
          <w:ilvl w:val="0"/>
          <w:numId w:val="1"/>
        </w:numPr>
        <w:spacing w:after="0" w:line="360" w:lineRule="auto"/>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Código Penal Argentino. Libro Segundo. </w:t>
      </w:r>
      <w:r>
        <w:rPr>
          <w:rFonts w:ascii="Cambria" w:hAnsi="Cambria"/>
          <w:sz w:val="24"/>
          <w:szCs w:val="24"/>
          <w:lang w:eastAsia="es-AR"/>
        </w:rPr>
        <w:t>Delitos contra las personas. Delitos contra el honor. Delitos contra la integridad sexual. Delitos contra el estado civil. Delitos contra la libertad. Delitos contra le propiedad. Delitos contra la seguridad pública. Delitos contra el orden público. Delitos contra la seguridad de la nación. Delitos contra los poderes públicos y el orden constitucional. Delitos contra la administración pública. Delitos contra la fe pública.</w:t>
      </w:r>
    </w:p>
    <w:p w:rsidR="0012773C" w:rsidRPr="00C950AE" w:rsidRDefault="0012773C" w:rsidP="0012773C">
      <w:pPr>
        <w:pStyle w:val="Prrafodelista"/>
        <w:numPr>
          <w:ilvl w:val="0"/>
          <w:numId w:val="1"/>
        </w:numPr>
        <w:spacing w:after="0" w:line="360" w:lineRule="auto"/>
        <w:jc w:val="both"/>
        <w:rPr>
          <w:rFonts w:asciiTheme="majorHAnsi" w:eastAsia="Times New Roman" w:hAnsiTheme="majorHAnsi" w:cs="Times New Roman"/>
          <w:sz w:val="24"/>
          <w:szCs w:val="24"/>
        </w:rPr>
      </w:pPr>
      <w:r w:rsidRPr="00C950AE">
        <w:rPr>
          <w:rFonts w:asciiTheme="majorHAnsi" w:eastAsia="Times New Roman" w:hAnsiTheme="majorHAnsi" w:cs="Times New Roman"/>
          <w:sz w:val="24"/>
          <w:szCs w:val="24"/>
        </w:rPr>
        <w:t xml:space="preserve">Perspectivas de Género. Violencia Familiar y Violencia de Género. Su aplicación en la investigación criminal. Fallos de la Corte Interamericana de los </w:t>
      </w:r>
      <w:r w:rsidR="008636DC" w:rsidRPr="00C950AE">
        <w:rPr>
          <w:rFonts w:asciiTheme="majorHAnsi" w:eastAsia="Times New Roman" w:hAnsiTheme="majorHAnsi" w:cs="Times New Roman"/>
          <w:sz w:val="24"/>
          <w:szCs w:val="24"/>
        </w:rPr>
        <w:t>D</w:t>
      </w:r>
      <w:r w:rsidRPr="00C950AE">
        <w:rPr>
          <w:rFonts w:asciiTheme="majorHAnsi" w:eastAsia="Times New Roman" w:hAnsiTheme="majorHAnsi" w:cs="Times New Roman"/>
          <w:sz w:val="24"/>
          <w:szCs w:val="24"/>
        </w:rPr>
        <w:t xml:space="preserve">erechos Humanos; </w:t>
      </w:r>
      <w:r w:rsidR="008636DC" w:rsidRPr="00C950AE">
        <w:rPr>
          <w:rFonts w:asciiTheme="majorHAnsi" w:eastAsia="Times New Roman" w:hAnsiTheme="majorHAnsi" w:cs="Times New Roman"/>
          <w:sz w:val="24"/>
          <w:szCs w:val="24"/>
        </w:rPr>
        <w:t xml:space="preserve">Corte Suprema de Justicia de la Nación; </w:t>
      </w:r>
      <w:r w:rsidRPr="00C950AE">
        <w:rPr>
          <w:rFonts w:asciiTheme="majorHAnsi" w:eastAsia="Times New Roman" w:hAnsiTheme="majorHAnsi" w:cs="Times New Roman"/>
          <w:sz w:val="24"/>
          <w:szCs w:val="24"/>
        </w:rPr>
        <w:t xml:space="preserve">Superior Tribunal de </w:t>
      </w:r>
      <w:r w:rsidR="008636DC" w:rsidRPr="00C950AE">
        <w:rPr>
          <w:rFonts w:asciiTheme="majorHAnsi" w:eastAsia="Times New Roman" w:hAnsiTheme="majorHAnsi" w:cs="Times New Roman"/>
          <w:sz w:val="24"/>
          <w:szCs w:val="24"/>
        </w:rPr>
        <w:t>J</w:t>
      </w:r>
      <w:r w:rsidRPr="00C950AE">
        <w:rPr>
          <w:rFonts w:asciiTheme="majorHAnsi" w:eastAsia="Times New Roman" w:hAnsiTheme="majorHAnsi" w:cs="Times New Roman"/>
          <w:sz w:val="24"/>
          <w:szCs w:val="24"/>
        </w:rPr>
        <w:t>usticia de Chubut</w:t>
      </w:r>
      <w:r w:rsidR="008636DC" w:rsidRPr="00C950AE">
        <w:rPr>
          <w:rFonts w:asciiTheme="majorHAnsi" w:eastAsia="Times New Roman" w:hAnsiTheme="majorHAnsi" w:cs="Times New Roman"/>
          <w:sz w:val="24"/>
          <w:szCs w:val="24"/>
        </w:rPr>
        <w:t>.</w:t>
      </w:r>
      <w:r w:rsidR="00B45D5B" w:rsidRPr="00C950AE">
        <w:rPr>
          <w:rFonts w:asciiTheme="majorHAnsi" w:eastAsia="Times New Roman" w:hAnsiTheme="majorHAnsi" w:cs="Times New Roman"/>
          <w:sz w:val="24"/>
          <w:szCs w:val="24"/>
        </w:rPr>
        <w:t xml:space="preserve"> Ley Provincial XV-N°12.</w:t>
      </w:r>
      <w:r w:rsidRPr="00C950AE">
        <w:rPr>
          <w:rFonts w:asciiTheme="majorHAnsi" w:eastAsia="Times New Roman" w:hAnsiTheme="majorHAnsi" w:cs="Times New Roman"/>
          <w:sz w:val="24"/>
          <w:szCs w:val="24"/>
        </w:rPr>
        <w:t xml:space="preserve"> Instructivo de Procuración General</w:t>
      </w:r>
      <w:r w:rsidR="008636DC" w:rsidRPr="00C950AE">
        <w:rPr>
          <w:rFonts w:asciiTheme="majorHAnsi" w:eastAsia="Times New Roman" w:hAnsiTheme="majorHAnsi" w:cs="Times New Roman"/>
          <w:sz w:val="24"/>
          <w:szCs w:val="24"/>
        </w:rPr>
        <w:t>.</w:t>
      </w:r>
      <w:r w:rsidR="006A31BE">
        <w:rPr>
          <w:rFonts w:asciiTheme="majorHAnsi" w:eastAsia="Times New Roman" w:hAnsiTheme="majorHAnsi" w:cs="Times New Roman"/>
          <w:sz w:val="24"/>
          <w:szCs w:val="24"/>
        </w:rPr>
        <w:t xml:space="preserve"> Leyes Provinciales N°XV-N°26 y N°III-N°36. </w:t>
      </w:r>
    </w:p>
    <w:p w:rsidR="0012773C" w:rsidRPr="00C950AE" w:rsidRDefault="0012773C" w:rsidP="0012773C">
      <w:pPr>
        <w:pStyle w:val="Prrafodelista"/>
        <w:numPr>
          <w:ilvl w:val="0"/>
          <w:numId w:val="1"/>
        </w:numPr>
        <w:spacing w:after="0" w:line="360" w:lineRule="auto"/>
        <w:jc w:val="both"/>
        <w:rPr>
          <w:rFonts w:asciiTheme="majorHAnsi" w:eastAsia="Times New Roman" w:hAnsiTheme="majorHAnsi" w:cs="Times New Roman"/>
          <w:sz w:val="24"/>
          <w:szCs w:val="24"/>
        </w:rPr>
      </w:pPr>
      <w:r w:rsidRPr="00C950AE">
        <w:rPr>
          <w:rFonts w:asciiTheme="majorHAnsi" w:eastAsia="Times New Roman" w:hAnsiTheme="majorHAnsi" w:cs="Times New Roman"/>
          <w:sz w:val="24"/>
          <w:szCs w:val="24"/>
        </w:rPr>
        <w:t>Derechos de la Víctima consagrados en el CPP</w:t>
      </w:r>
      <w:r w:rsidR="00F17CE2" w:rsidRPr="00C950AE">
        <w:rPr>
          <w:rFonts w:asciiTheme="majorHAnsi" w:eastAsia="Times New Roman" w:hAnsiTheme="majorHAnsi" w:cs="Times New Roman"/>
          <w:sz w:val="24"/>
          <w:szCs w:val="24"/>
        </w:rPr>
        <w:t xml:space="preserve"> y en la Ley Nacional 27372. </w:t>
      </w:r>
      <w:r w:rsidRPr="00C950AE">
        <w:rPr>
          <w:rFonts w:asciiTheme="majorHAnsi" w:eastAsia="Times New Roman" w:hAnsiTheme="majorHAnsi" w:cs="Times New Roman"/>
          <w:sz w:val="24"/>
          <w:szCs w:val="24"/>
        </w:rPr>
        <w:t>Servicio de Asistencia a la Víctima. Funciones. Instructivo PG n° 4/19; 8/09; 2/19 y 3/11.</w:t>
      </w:r>
    </w:p>
    <w:p w:rsidR="004558C6" w:rsidRPr="00C950AE" w:rsidRDefault="004558C6" w:rsidP="004558C6">
      <w:pPr>
        <w:pStyle w:val="Prrafodelista"/>
        <w:numPr>
          <w:ilvl w:val="0"/>
          <w:numId w:val="1"/>
        </w:numPr>
        <w:spacing w:after="0" w:line="360" w:lineRule="auto"/>
        <w:jc w:val="both"/>
        <w:rPr>
          <w:rFonts w:asciiTheme="majorHAnsi" w:eastAsia="Times New Roman" w:hAnsiTheme="majorHAnsi" w:cs="Times New Roman"/>
          <w:sz w:val="24"/>
          <w:szCs w:val="24"/>
        </w:rPr>
      </w:pPr>
      <w:r w:rsidRPr="00C950AE">
        <w:rPr>
          <w:rFonts w:asciiTheme="majorHAnsi" w:eastAsia="Times New Roman" w:hAnsiTheme="majorHAnsi" w:cs="Times New Roman"/>
          <w:sz w:val="24"/>
          <w:szCs w:val="24"/>
        </w:rPr>
        <w:t xml:space="preserve">Reglas especiales para </w:t>
      </w:r>
      <w:r w:rsidR="00B241DA">
        <w:rPr>
          <w:rFonts w:asciiTheme="majorHAnsi" w:eastAsia="Times New Roman" w:hAnsiTheme="majorHAnsi" w:cs="Times New Roman"/>
          <w:sz w:val="24"/>
          <w:szCs w:val="24"/>
        </w:rPr>
        <w:t>Niños y Adolescentes en el CPP.</w:t>
      </w:r>
    </w:p>
    <w:p w:rsidR="004558C6" w:rsidRPr="00C950AE" w:rsidRDefault="004558C6" w:rsidP="004558C6">
      <w:pPr>
        <w:pStyle w:val="Prrafodelista"/>
        <w:numPr>
          <w:ilvl w:val="0"/>
          <w:numId w:val="1"/>
        </w:numPr>
        <w:spacing w:after="0" w:line="360" w:lineRule="auto"/>
        <w:jc w:val="both"/>
        <w:rPr>
          <w:rFonts w:asciiTheme="majorHAnsi" w:eastAsia="Times New Roman" w:hAnsiTheme="majorHAnsi" w:cs="Times New Roman"/>
          <w:sz w:val="24"/>
          <w:szCs w:val="24"/>
        </w:rPr>
      </w:pPr>
      <w:r w:rsidRPr="00C950AE">
        <w:rPr>
          <w:rFonts w:asciiTheme="majorHAnsi" w:eastAsia="Times New Roman" w:hAnsiTheme="majorHAnsi" w:cs="Times New Roman"/>
          <w:sz w:val="24"/>
          <w:szCs w:val="24"/>
        </w:rPr>
        <w:t>Ejecución Penal. Ley 24660</w:t>
      </w:r>
      <w:r w:rsidR="00B241DA">
        <w:rPr>
          <w:rFonts w:asciiTheme="majorHAnsi" w:eastAsia="Times New Roman" w:hAnsiTheme="majorHAnsi" w:cs="Times New Roman"/>
          <w:sz w:val="24"/>
          <w:szCs w:val="24"/>
        </w:rPr>
        <w:t>.</w:t>
      </w:r>
    </w:p>
    <w:p w:rsidR="0012773C" w:rsidRDefault="0012773C" w:rsidP="0012773C">
      <w:pPr>
        <w:pStyle w:val="Prrafodelista"/>
        <w:numPr>
          <w:ilvl w:val="0"/>
          <w:numId w:val="1"/>
        </w:numPr>
        <w:spacing w:after="0" w:line="360" w:lineRule="auto"/>
        <w:jc w:val="both"/>
        <w:rPr>
          <w:rFonts w:asciiTheme="majorHAnsi" w:eastAsia="Times New Roman" w:hAnsiTheme="majorHAnsi" w:cs="Times New Roman"/>
          <w:sz w:val="24"/>
          <w:szCs w:val="24"/>
        </w:rPr>
      </w:pPr>
      <w:r w:rsidRPr="00C950AE">
        <w:rPr>
          <w:rFonts w:asciiTheme="majorHAnsi" w:eastAsia="Times New Roman" w:hAnsiTheme="majorHAnsi" w:cs="Times New Roman"/>
          <w:sz w:val="24"/>
          <w:szCs w:val="24"/>
        </w:rPr>
        <w:t>Funcionario de Fiscalía. Aspectos func</w:t>
      </w:r>
      <w:r w:rsidR="00B241DA">
        <w:rPr>
          <w:rFonts w:asciiTheme="majorHAnsi" w:eastAsia="Times New Roman" w:hAnsiTheme="majorHAnsi" w:cs="Times New Roman"/>
          <w:sz w:val="24"/>
          <w:szCs w:val="24"/>
        </w:rPr>
        <w:t>ionales, Ley V N° 94 (ex 5057).</w:t>
      </w:r>
    </w:p>
    <w:p w:rsidR="00B241DA" w:rsidRPr="00BA348D" w:rsidRDefault="00C522ED" w:rsidP="00B241DA">
      <w:pPr>
        <w:pStyle w:val="Prrafodelista"/>
        <w:numPr>
          <w:ilvl w:val="0"/>
          <w:numId w:val="1"/>
        </w:numPr>
        <w:spacing w:after="0" w:line="360" w:lineRule="auto"/>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Ley XV-N°30 </w:t>
      </w:r>
      <w:r w:rsidR="00B241DA">
        <w:rPr>
          <w:rFonts w:asciiTheme="majorHAnsi" w:eastAsia="Times New Roman" w:hAnsiTheme="majorHAnsi" w:cs="Times New Roman"/>
          <w:sz w:val="24"/>
          <w:szCs w:val="24"/>
        </w:rPr>
        <w:t>Juicio por jurados y con vocales legos.</w:t>
      </w:r>
    </w:p>
    <w:p w:rsidR="00B241DA" w:rsidRPr="00C950AE" w:rsidRDefault="00B241DA" w:rsidP="00B241DA">
      <w:pPr>
        <w:pStyle w:val="Prrafodelista"/>
        <w:spacing w:after="0" w:line="360" w:lineRule="auto"/>
        <w:jc w:val="both"/>
        <w:rPr>
          <w:rFonts w:asciiTheme="majorHAnsi" w:eastAsia="Times New Roman" w:hAnsiTheme="majorHAnsi" w:cs="Times New Roman"/>
          <w:sz w:val="24"/>
          <w:szCs w:val="24"/>
        </w:rPr>
      </w:pPr>
    </w:p>
    <w:p w:rsidR="004558C6" w:rsidRPr="00C950AE" w:rsidRDefault="004558C6" w:rsidP="004558C6">
      <w:pPr>
        <w:pStyle w:val="Prrafodelista"/>
        <w:spacing w:after="0" w:line="360" w:lineRule="auto"/>
        <w:jc w:val="both"/>
        <w:rPr>
          <w:rFonts w:asciiTheme="majorHAnsi" w:eastAsia="Times New Roman" w:hAnsiTheme="majorHAnsi" w:cs="Times New Roman"/>
          <w:sz w:val="24"/>
          <w:szCs w:val="24"/>
        </w:rPr>
      </w:pPr>
      <w:bookmarkStart w:id="0" w:name="_GoBack"/>
      <w:bookmarkEnd w:id="0"/>
    </w:p>
    <w:sectPr w:rsidR="004558C6" w:rsidRPr="00C950AE" w:rsidSect="004558C6">
      <w:headerReference w:type="default" r:id="rId8"/>
      <w:pgSz w:w="12242" w:h="20163" w:code="5"/>
      <w:pgMar w:top="1985" w:right="1134" w:bottom="1134" w:left="1134" w:header="720" w:footer="720" w:gutter="1083"/>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048" w:rsidRDefault="00AC2048">
      <w:r>
        <w:separator/>
      </w:r>
    </w:p>
  </w:endnote>
  <w:endnote w:type="continuationSeparator" w:id="0">
    <w:p w:rsidR="00AC2048" w:rsidRDefault="00AC2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048" w:rsidRDefault="00AC2048">
      <w:r>
        <w:separator/>
      </w:r>
    </w:p>
  </w:footnote>
  <w:footnote w:type="continuationSeparator" w:id="0">
    <w:p w:rsidR="00AC2048" w:rsidRDefault="00AC2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CE2" w:rsidRPr="002C05E5" w:rsidRDefault="00F17CE2" w:rsidP="002C05E5">
    <w:pPr>
      <w:pStyle w:val="Encabezado"/>
    </w:pPr>
    <w:r>
      <w:rPr>
        <w:noProof/>
        <w:lang w:eastAsia="es-AR"/>
      </w:rPr>
      <w:drawing>
        <wp:inline distT="0" distB="0" distL="0" distR="0" wp14:anchorId="77D79522" wp14:editId="24813C1A">
          <wp:extent cx="5074285" cy="609600"/>
          <wp:effectExtent l="0" t="0" r="0" b="0"/>
          <wp:docPr id="1" name="Imagen 1" descr="membr-consejo-fisc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r-consejo-fiscal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428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4366B"/>
    <w:multiLevelType w:val="hybridMultilevel"/>
    <w:tmpl w:val="0C86E73E"/>
    <w:lvl w:ilvl="0" w:tplc="E9DEB032">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512652F4"/>
    <w:multiLevelType w:val="hybridMultilevel"/>
    <w:tmpl w:val="2A4C1CFA"/>
    <w:lvl w:ilvl="0" w:tplc="CD08400A">
      <w:start w:val="1"/>
      <w:numFmt w:val="upp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16385">
      <o:colormru v:ext="edit" colors="#dfe3d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92B"/>
    <w:rsid w:val="00003D09"/>
    <w:rsid w:val="00015AEB"/>
    <w:rsid w:val="00024C1E"/>
    <w:rsid w:val="000343E8"/>
    <w:rsid w:val="000946CE"/>
    <w:rsid w:val="000A323A"/>
    <w:rsid w:val="000E2CBB"/>
    <w:rsid w:val="000E7E07"/>
    <w:rsid w:val="00115AA9"/>
    <w:rsid w:val="0012773C"/>
    <w:rsid w:val="001E5D6C"/>
    <w:rsid w:val="00263DE8"/>
    <w:rsid w:val="002C05E5"/>
    <w:rsid w:val="0032792B"/>
    <w:rsid w:val="00354DB9"/>
    <w:rsid w:val="003848FF"/>
    <w:rsid w:val="003E6955"/>
    <w:rsid w:val="003F706F"/>
    <w:rsid w:val="00410579"/>
    <w:rsid w:val="004558C6"/>
    <w:rsid w:val="00461065"/>
    <w:rsid w:val="004C23F6"/>
    <w:rsid w:val="004F398F"/>
    <w:rsid w:val="00525A5C"/>
    <w:rsid w:val="00672F46"/>
    <w:rsid w:val="00686438"/>
    <w:rsid w:val="006A31BE"/>
    <w:rsid w:val="006A4F40"/>
    <w:rsid w:val="006D626E"/>
    <w:rsid w:val="006F15C5"/>
    <w:rsid w:val="007920F1"/>
    <w:rsid w:val="008636DC"/>
    <w:rsid w:val="00884983"/>
    <w:rsid w:val="00896853"/>
    <w:rsid w:val="008E191D"/>
    <w:rsid w:val="009178BF"/>
    <w:rsid w:val="00924918"/>
    <w:rsid w:val="00954E4E"/>
    <w:rsid w:val="00963C43"/>
    <w:rsid w:val="00967672"/>
    <w:rsid w:val="00A05FD0"/>
    <w:rsid w:val="00A665E8"/>
    <w:rsid w:val="00A91235"/>
    <w:rsid w:val="00AC2048"/>
    <w:rsid w:val="00B241DA"/>
    <w:rsid w:val="00B45D5B"/>
    <w:rsid w:val="00B67C23"/>
    <w:rsid w:val="00BA42D2"/>
    <w:rsid w:val="00BB41D9"/>
    <w:rsid w:val="00BD30F5"/>
    <w:rsid w:val="00BE69C3"/>
    <w:rsid w:val="00C51808"/>
    <w:rsid w:val="00C522ED"/>
    <w:rsid w:val="00C66830"/>
    <w:rsid w:val="00C950AE"/>
    <w:rsid w:val="00CE06F1"/>
    <w:rsid w:val="00CF176F"/>
    <w:rsid w:val="00CF4E7B"/>
    <w:rsid w:val="00D01CA3"/>
    <w:rsid w:val="00D43772"/>
    <w:rsid w:val="00D74BAF"/>
    <w:rsid w:val="00DC478B"/>
    <w:rsid w:val="00DC761D"/>
    <w:rsid w:val="00E412DB"/>
    <w:rsid w:val="00E92473"/>
    <w:rsid w:val="00EB345E"/>
    <w:rsid w:val="00F064FA"/>
    <w:rsid w:val="00F10322"/>
    <w:rsid w:val="00F17CE2"/>
    <w:rsid w:val="00FB5C2A"/>
    <w:rsid w:val="00FE2DD9"/>
    <w:rsid w:val="00FE6C8F"/>
    <w:rsid w:val="00FF2EB1"/>
    <w:rsid w:val="00FF31B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dfe3df"/>
    </o:shapedefaults>
    <o:shapelayout v:ext="edit">
      <o:idmap v:ext="edit" data="1"/>
    </o:shapelayout>
  </w:shapeDefaults>
  <w:decimalSymbol w:val=","/>
  <w:listSeparator w:val=";"/>
  <w14:docId w14:val="7823F208"/>
  <w15:docId w15:val="{72FFFAEB-1675-4299-B30A-226DA6FE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8C6"/>
    <w:pPr>
      <w:spacing w:after="160" w:line="256" w:lineRule="auto"/>
    </w:pPr>
    <w:rPr>
      <w:rFonts w:asciiTheme="minorHAnsi" w:eastAsiaTheme="minorHAnsi" w:hAnsiTheme="minorHAnsi" w:cstheme="minorBidi"/>
      <w:sz w:val="22"/>
      <w:szCs w:val="22"/>
      <w:lang w:eastAsia="en-US"/>
    </w:rPr>
  </w:style>
  <w:style w:type="paragraph" w:styleId="Ttulo1">
    <w:name w:val="heading 1"/>
    <w:basedOn w:val="Normal"/>
    <w:next w:val="Normal"/>
    <w:qFormat/>
    <w:rsid w:val="00884983"/>
    <w:pPr>
      <w:keepNext/>
      <w:jc w:val="both"/>
      <w:outlineLvl w:val="0"/>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rPr>
      <w:sz w:val="20"/>
    </w:rPr>
  </w:style>
  <w:style w:type="paragraph" w:styleId="Piedepgina">
    <w:name w:val="footer"/>
    <w:basedOn w:val="Normal"/>
    <w:pPr>
      <w:tabs>
        <w:tab w:val="center" w:pos="4419"/>
        <w:tab w:val="right" w:pos="8838"/>
      </w:tabs>
    </w:pPr>
    <w:rPr>
      <w:sz w:val="20"/>
    </w:rPr>
  </w:style>
  <w:style w:type="character" w:styleId="Hipervnculo">
    <w:name w:val="Hyperlink"/>
    <w:rPr>
      <w:strike w:val="0"/>
      <w:dstrike w:val="0"/>
      <w:color w:val="003399"/>
      <w:u w:val="none"/>
      <w:effect w:val="none"/>
    </w:rPr>
  </w:style>
  <w:style w:type="paragraph" w:styleId="NormalWeb">
    <w:name w:val="Normal (Web)"/>
    <w:basedOn w:val="Normal"/>
    <w:rsid w:val="00884983"/>
    <w:pPr>
      <w:spacing w:before="100" w:beforeAutospacing="1" w:after="100" w:afterAutospacing="1"/>
    </w:pPr>
  </w:style>
  <w:style w:type="paragraph" w:styleId="Textoindependiente">
    <w:name w:val="Body Text"/>
    <w:basedOn w:val="Normal"/>
    <w:rsid w:val="000946CE"/>
    <w:pPr>
      <w:spacing w:after="120"/>
    </w:pPr>
    <w:rPr>
      <w:sz w:val="20"/>
    </w:rPr>
  </w:style>
  <w:style w:type="paragraph" w:styleId="Textonotaalfinal">
    <w:name w:val="endnote text"/>
    <w:basedOn w:val="Normal"/>
    <w:link w:val="TextonotaalfinalCar"/>
    <w:rsid w:val="0032792B"/>
    <w:rPr>
      <w:sz w:val="20"/>
      <w:szCs w:val="20"/>
      <w:lang w:val="en-US"/>
    </w:rPr>
  </w:style>
  <w:style w:type="character" w:customStyle="1" w:styleId="TextonotaalfinalCar">
    <w:name w:val="Texto nota al final Car"/>
    <w:basedOn w:val="Fuentedeprrafopredeter"/>
    <w:link w:val="Textonotaalfinal"/>
    <w:rsid w:val="0032792B"/>
    <w:rPr>
      <w:lang w:val="en-US" w:eastAsia="en-US"/>
    </w:rPr>
  </w:style>
  <w:style w:type="character" w:styleId="Refdenotaalfinal">
    <w:name w:val="endnote reference"/>
    <w:basedOn w:val="Fuentedeprrafopredeter"/>
    <w:rsid w:val="0032792B"/>
    <w:rPr>
      <w:vertAlign w:val="superscript"/>
    </w:rPr>
  </w:style>
  <w:style w:type="paragraph" w:styleId="Textodeglobo">
    <w:name w:val="Balloon Text"/>
    <w:basedOn w:val="Normal"/>
    <w:link w:val="TextodegloboCar"/>
    <w:rsid w:val="00FF2EB1"/>
    <w:rPr>
      <w:rFonts w:ascii="Tahoma" w:hAnsi="Tahoma" w:cs="Tahoma"/>
      <w:sz w:val="16"/>
      <w:szCs w:val="16"/>
      <w:lang w:val="en-US"/>
    </w:rPr>
  </w:style>
  <w:style w:type="character" w:customStyle="1" w:styleId="TextodegloboCar">
    <w:name w:val="Texto de globo Car"/>
    <w:basedOn w:val="Fuentedeprrafopredeter"/>
    <w:link w:val="Textodeglobo"/>
    <w:rsid w:val="00FF2EB1"/>
    <w:rPr>
      <w:rFonts w:ascii="Tahoma" w:hAnsi="Tahoma" w:cs="Tahoma"/>
      <w:sz w:val="16"/>
      <w:szCs w:val="16"/>
      <w:lang w:val="en-US" w:eastAsia="en-US"/>
    </w:rPr>
  </w:style>
  <w:style w:type="paragraph" w:styleId="Prrafodelista">
    <w:name w:val="List Paragraph"/>
    <w:basedOn w:val="Normal"/>
    <w:uiPriority w:val="34"/>
    <w:qFormat/>
    <w:rsid w:val="00455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fernandez\Desktop\PLANTILLAS\Oficio-Consejo%20de%20Fiscal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0FF64-9F9D-434A-BF22-C0B7429C6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Oficio-Consejo de Fiscales.dot</Template>
  <TotalTime>5</TotalTime>
  <Pages>1</Pages>
  <Words>249</Words>
  <Characters>1373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GACETILLA DE PRENSA</vt:lpstr>
    </vt:vector>
  </TitlesOfParts>
  <Company>Hewlett-Packard Company</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GACETILLA DE PRENSA</dc:title>
  <dc:creator>Viviana Fernandez</dc:creator>
  <cp:lastModifiedBy>María Cristina ABELLA</cp:lastModifiedBy>
  <cp:revision>11</cp:revision>
  <cp:lastPrinted>2020-08-10T13:45:00Z</cp:lastPrinted>
  <dcterms:created xsi:type="dcterms:W3CDTF">2021-07-05T12:55:00Z</dcterms:created>
  <dcterms:modified xsi:type="dcterms:W3CDTF">2024-02-14T11:11:00Z</dcterms:modified>
</cp:coreProperties>
</file>